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0B7B" w:rsidRPr="001F239B" w:rsidRDefault="00540B7B">
      <w:pPr>
        <w:rPr>
          <w:rFonts w:ascii="Arial" w:hAnsi="Arial"/>
        </w:rPr>
      </w:pPr>
    </w:p>
    <w:p w:rsidR="00540B7B" w:rsidRPr="001F239B" w:rsidRDefault="00540B7B">
      <w:pPr>
        <w:rPr>
          <w:rFonts w:ascii="Arial" w:hAnsi="Arial"/>
          <w:i/>
          <w:sz w:val="18"/>
          <w:szCs w:val="18"/>
        </w:rPr>
      </w:pPr>
    </w:p>
    <w:p w:rsidR="00540B7B" w:rsidRPr="001F239B" w:rsidRDefault="001F239B">
      <w:pPr>
        <w:rPr>
          <w:rFonts w:ascii="Arial" w:hAnsi="Arial"/>
          <w:i/>
          <w:sz w:val="18"/>
          <w:szCs w:val="18"/>
        </w:rPr>
      </w:pPr>
      <w:r>
        <w:rPr>
          <w:noProof/>
          <w:lang w:eastAsia="de-DE"/>
        </w:rPr>
        <w:drawing>
          <wp:inline distT="0" distB="0" distL="0" distR="0">
            <wp:extent cx="3590925" cy="2257425"/>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90925" cy="2257425"/>
                    </a:xfrm>
                    <a:prstGeom prst="rect">
                      <a:avLst/>
                    </a:prstGeom>
                    <a:solidFill>
                      <a:srgbClr val="FFFFFF"/>
                    </a:solidFill>
                    <a:ln w="9525">
                      <a:noFill/>
                      <a:miter lim="800000"/>
                      <a:headEnd/>
                      <a:tailEnd/>
                    </a:ln>
                  </pic:spPr>
                </pic:pic>
              </a:graphicData>
            </a:graphic>
          </wp:inline>
        </w:drawing>
      </w:r>
    </w:p>
    <w:p w:rsidR="00540B7B" w:rsidRPr="00E14645" w:rsidRDefault="00B040D4">
      <w:pPr>
        <w:rPr>
          <w:rFonts w:ascii="Arial" w:hAnsi="Arial"/>
          <w:b/>
          <w:lang w:val="en-US"/>
        </w:rPr>
      </w:pPr>
      <w:r w:rsidRPr="00B040D4">
        <w:rPr>
          <w:rFonts w:ascii="Arial" w:hAnsi="Arial"/>
          <w:i/>
          <w:sz w:val="18"/>
          <w:szCs w:val="18"/>
          <w:lang w:val="en-US"/>
        </w:rPr>
        <w:t>Bild 01 Opener - EU Chips Act - microchip graphic HR</w:t>
      </w:r>
    </w:p>
    <w:p w:rsidR="00540B7B" w:rsidRPr="00E14645" w:rsidRDefault="00540B7B">
      <w:pPr>
        <w:rPr>
          <w:rFonts w:ascii="Arial" w:hAnsi="Arial"/>
          <w:b/>
          <w:lang w:val="en-US"/>
        </w:rPr>
      </w:pPr>
    </w:p>
    <w:p w:rsidR="00540B7B" w:rsidRPr="001F239B" w:rsidRDefault="001C5CE7">
      <w:pPr>
        <w:rPr>
          <w:rFonts w:ascii="Arial" w:hAnsi="Arial"/>
          <w:i/>
        </w:rPr>
      </w:pPr>
      <w:r w:rsidRPr="001F239B">
        <w:rPr>
          <w:rFonts w:ascii="Arial" w:hAnsi="Arial"/>
          <w:b/>
          <w:sz w:val="28"/>
          <w:szCs w:val="28"/>
        </w:rPr>
        <w:t xml:space="preserve">Wenn die </w:t>
      </w:r>
      <w:r w:rsidR="001F239B">
        <w:rPr>
          <w:rFonts w:ascii="Arial" w:hAnsi="Arial"/>
          <w:b/>
          <w:sz w:val="28"/>
          <w:szCs w:val="28"/>
        </w:rPr>
        <w:t>C</w:t>
      </w:r>
      <w:r w:rsidR="001F239B" w:rsidRPr="001F239B">
        <w:rPr>
          <w:rFonts w:ascii="Arial" w:hAnsi="Arial"/>
          <w:b/>
          <w:sz w:val="28"/>
          <w:szCs w:val="28"/>
        </w:rPr>
        <w:t>hips</w:t>
      </w:r>
      <w:r w:rsidRPr="001F239B">
        <w:rPr>
          <w:rFonts w:ascii="Arial" w:hAnsi="Arial"/>
          <w:b/>
          <w:sz w:val="28"/>
          <w:szCs w:val="28"/>
        </w:rPr>
        <w:t xml:space="preserve"> ausgehen: Warum Wärmebildtechnik für die 22-Milliarden-Euro-Investition der EU zur Bekämpfung der Mikrochip-Knappheit und zur Stützung der globalen Lieferketten unerlässlich ist</w:t>
      </w:r>
    </w:p>
    <w:p w:rsidR="00540B7B" w:rsidRPr="001F239B" w:rsidRDefault="00540B7B">
      <w:pPr>
        <w:rPr>
          <w:rFonts w:ascii="Arial" w:hAnsi="Arial"/>
          <w:i/>
        </w:rPr>
      </w:pPr>
    </w:p>
    <w:p w:rsidR="00540B7B" w:rsidRPr="001F239B" w:rsidRDefault="00E14645" w:rsidP="001D75C9">
      <w:pPr>
        <w:rPr>
          <w:rFonts w:ascii="Arial" w:hAnsi="Arial"/>
        </w:rPr>
      </w:pPr>
      <w:r w:rsidRPr="001D75C9">
        <w:rPr>
          <w:rFonts w:ascii="Arial" w:hAnsi="Arial"/>
          <w:i/>
        </w:rPr>
        <w:t xml:space="preserve">Joachim Templin, </w:t>
      </w:r>
      <w:r w:rsidR="00772539" w:rsidRPr="001D75C9">
        <w:rPr>
          <w:rFonts w:ascii="Arial" w:hAnsi="Arial"/>
          <w:i/>
        </w:rPr>
        <w:t xml:space="preserve">Sales Manager </w:t>
      </w:r>
      <w:r w:rsidR="008C3DEE">
        <w:rPr>
          <w:rFonts w:ascii="Arial" w:hAnsi="Arial"/>
          <w:i/>
        </w:rPr>
        <w:t xml:space="preserve">EMEA </w:t>
      </w:r>
      <w:r w:rsidR="001C5CE7" w:rsidRPr="001D75C9">
        <w:rPr>
          <w:rFonts w:ascii="Arial" w:hAnsi="Arial"/>
          <w:i/>
        </w:rPr>
        <w:t>der Abteilung Science &amp; Automation bei Teledyne FLIR</w:t>
      </w:r>
      <w:r w:rsidR="00071BD5">
        <w:rPr>
          <w:rFonts w:ascii="Arial" w:hAnsi="Arial"/>
          <w:i/>
        </w:rPr>
        <w:t>.</w:t>
      </w:r>
    </w:p>
    <w:p w:rsidR="00540B7B" w:rsidRPr="001F239B" w:rsidRDefault="00540B7B">
      <w:pPr>
        <w:rPr>
          <w:rFonts w:ascii="Arial" w:hAnsi="Arial"/>
        </w:rPr>
      </w:pPr>
    </w:p>
    <w:p w:rsidR="00540B7B" w:rsidRPr="001F239B" w:rsidRDefault="001C5CE7">
      <w:pPr>
        <w:rPr>
          <w:rFonts w:ascii="Arial" w:hAnsi="Arial"/>
        </w:rPr>
      </w:pPr>
      <w:r w:rsidRPr="001F239B">
        <w:rPr>
          <w:rFonts w:ascii="Arial" w:hAnsi="Arial"/>
        </w:rPr>
        <w:t>Die weltweite Nachfrage nach Mikrochips steigt rasant an: Es wird erwartet, dass sie sich bis 2030 verdoppelt (</w:t>
      </w:r>
      <w:hyperlink r:id="rId7" w:history="1">
        <w:r w:rsidR="001F239B" w:rsidRPr="001F239B">
          <w:rPr>
            <w:rStyle w:val="Link"/>
            <w:rFonts w:ascii="Arial" w:hAnsi="Arial"/>
          </w:rPr>
          <w:t>https://www.air-worldwide.com/blog/posts/2021/12/pandemic-supply-chain-issues-semiconductors/</w:t>
        </w:r>
      </w:hyperlink>
      <w:r w:rsidR="001F239B" w:rsidRPr="001F239B">
        <w:rPr>
          <w:rFonts w:ascii="Arial" w:hAnsi="Arial"/>
        </w:rPr>
        <w:t>)</w:t>
      </w:r>
      <w:r w:rsidRPr="001F239B">
        <w:rPr>
          <w:rFonts w:ascii="Arial" w:hAnsi="Arial"/>
        </w:rPr>
        <w:t>. Das Problem: Mikrochips sind wesentliche Bestandteile moderner Schaltkreise.  Halbleiter werden in praktisch allen Bereichen eingesetzt, von Geräten im Gesundheitswesen, Fernseh- und Audiotechnik, PC-Daten und -Verarbeitung bis hin zu industriellen Anwendungen, Luft- und Raumfahrt und Verteidigung, Telekommunikation und Automobilbau.</w:t>
      </w:r>
    </w:p>
    <w:p w:rsidR="00540B7B" w:rsidRPr="001F239B" w:rsidRDefault="00540B7B">
      <w:pPr>
        <w:rPr>
          <w:rFonts w:ascii="Arial" w:hAnsi="Arial"/>
        </w:rPr>
      </w:pPr>
    </w:p>
    <w:p w:rsidR="00540B7B" w:rsidRPr="001F239B" w:rsidRDefault="001C5CE7">
      <w:pPr>
        <w:rPr>
          <w:rFonts w:ascii="Arial" w:hAnsi="Arial"/>
          <w:b/>
        </w:rPr>
      </w:pPr>
      <w:r w:rsidRPr="001F239B">
        <w:rPr>
          <w:rFonts w:ascii="Arial" w:hAnsi="Arial"/>
        </w:rPr>
        <w:t>Die jüngste Verknappung von Chips hat die Hersteller bereits weltweit getroffen – und wenn die Nachfrage erneut das Angebot übersteigt, könnte das auf breiter Ebene Neuerungen verhindern, den technologischen Fortschritt bremsen und Innovationen auf internationaler Ebene aktiv hemmen. Die Europäische Kommission will dies mit dem so genannten EU Chips Act verhindern – mit gezielten Investitionen in die europäische Produktion von Halbleitern in Höhe von fast 22 Milliarden Euro.</w:t>
      </w:r>
    </w:p>
    <w:p w:rsidR="00540B7B" w:rsidRPr="001F239B" w:rsidRDefault="00540B7B">
      <w:pPr>
        <w:rPr>
          <w:rFonts w:ascii="Arial" w:hAnsi="Arial"/>
          <w:b/>
        </w:rPr>
      </w:pPr>
    </w:p>
    <w:p w:rsidR="00540B7B" w:rsidRPr="001F239B" w:rsidRDefault="001C5CE7">
      <w:pPr>
        <w:rPr>
          <w:rFonts w:ascii="Arial" w:hAnsi="Arial"/>
        </w:rPr>
      </w:pPr>
      <w:r w:rsidRPr="001F239B">
        <w:rPr>
          <w:rFonts w:ascii="Arial" w:hAnsi="Arial"/>
          <w:b/>
        </w:rPr>
        <w:t>Warum sind die Investitionen in Mikrochips so wichtig?</w:t>
      </w:r>
    </w:p>
    <w:p w:rsidR="00540B7B" w:rsidRPr="001F239B" w:rsidRDefault="001C5CE7">
      <w:pPr>
        <w:rPr>
          <w:rFonts w:ascii="Arial" w:hAnsi="Arial"/>
        </w:rPr>
      </w:pPr>
      <w:r w:rsidRPr="001F239B">
        <w:rPr>
          <w:rFonts w:ascii="Arial" w:hAnsi="Arial"/>
        </w:rPr>
        <w:t xml:space="preserve">Die weltweiten Lieferketten für </w:t>
      </w:r>
      <w:r w:rsidR="001F239B" w:rsidRPr="001F239B">
        <w:rPr>
          <w:rFonts w:ascii="Arial" w:hAnsi="Arial"/>
        </w:rPr>
        <w:t>Mikrochips</w:t>
      </w:r>
      <w:r w:rsidRPr="001F239B">
        <w:rPr>
          <w:rFonts w:ascii="Arial" w:hAnsi="Arial"/>
        </w:rPr>
        <w:t xml:space="preserve"> wurden durch die COVID-19-Ausfälle und Arbeitsbeschränkungen erheblich gestört</w:t>
      </w:r>
      <w:r w:rsidR="00D10819">
        <w:rPr>
          <w:rFonts w:ascii="Arial" w:hAnsi="Arial"/>
        </w:rPr>
        <w:t>, w</w:t>
      </w:r>
      <w:r w:rsidRPr="001F239B">
        <w:rPr>
          <w:rFonts w:ascii="Arial" w:hAnsi="Arial"/>
        </w:rPr>
        <w:t>as sich auf die Produktion in praktisch allen Branchen auswirkte.</w:t>
      </w:r>
    </w:p>
    <w:p w:rsidR="00540B7B" w:rsidRPr="001F239B" w:rsidRDefault="00540B7B">
      <w:pPr>
        <w:rPr>
          <w:rFonts w:ascii="Arial" w:hAnsi="Arial"/>
        </w:rPr>
      </w:pPr>
    </w:p>
    <w:p w:rsidR="00540B7B" w:rsidRPr="001F239B" w:rsidRDefault="001C5CE7">
      <w:pPr>
        <w:rPr>
          <w:rFonts w:ascii="Arial" w:hAnsi="Arial"/>
        </w:rPr>
      </w:pPr>
      <w:r w:rsidRPr="001F239B">
        <w:rPr>
          <w:rFonts w:ascii="Arial" w:hAnsi="Arial"/>
        </w:rPr>
        <w:t>In der Automo</w:t>
      </w:r>
      <w:r w:rsidR="001F239B" w:rsidRPr="001F239B">
        <w:rPr>
          <w:rFonts w:ascii="Arial" w:hAnsi="Arial"/>
        </w:rPr>
        <w:t>bilindustrie, auf die allein 10</w:t>
      </w:r>
      <w:r w:rsidRPr="001F239B">
        <w:rPr>
          <w:rFonts w:ascii="Arial" w:hAnsi="Arial"/>
        </w:rPr>
        <w:t>% des weltweiten Halbleitermarktes entfallen, waren alle wichtigen Fertigungsregionen von den Engpässen bei der Chipnachfrage betroffen. In Großbritannien ging die Produktion z. B. um 30% gegenüber dem Stand von vor der Pandemie zurück, während weltwe</w:t>
      </w:r>
      <w:r w:rsidR="001F239B" w:rsidRPr="001F239B">
        <w:rPr>
          <w:rFonts w:ascii="Arial" w:hAnsi="Arial"/>
        </w:rPr>
        <w:t>it die KFZ-Neuzulassungen um 25</w:t>
      </w:r>
      <w:r w:rsidRPr="001F239B">
        <w:rPr>
          <w:rFonts w:ascii="Arial" w:hAnsi="Arial"/>
        </w:rPr>
        <w:t>% einbrachen. Die Auswirkungen der Chip-Knappheit führten dazu, dass im ersten Quartal 2021 nur ca. 672.000 leichte Nutzfahrzeuge produziert wurden, selbst nachdem die Beschränkungen bereits nachgelassen hatten. Und das ist nur ein kurzer Einblick in eine einzige Branche; die globalen Auswirkungen der Lieferkettenknappheit waren und sind erheblich.</w:t>
      </w:r>
    </w:p>
    <w:p w:rsidR="00540B7B" w:rsidRPr="001F239B" w:rsidRDefault="00540B7B">
      <w:pPr>
        <w:rPr>
          <w:rFonts w:ascii="Arial" w:hAnsi="Arial"/>
        </w:rPr>
      </w:pPr>
    </w:p>
    <w:p w:rsidR="00540B7B" w:rsidRPr="001F239B" w:rsidRDefault="001C5CE7">
      <w:pPr>
        <w:rPr>
          <w:rFonts w:ascii="Arial" w:hAnsi="Arial"/>
          <w:b/>
        </w:rPr>
      </w:pPr>
      <w:r w:rsidRPr="001F239B">
        <w:rPr>
          <w:rFonts w:ascii="Arial" w:hAnsi="Arial"/>
        </w:rPr>
        <w:t>Nach einer Untersuchung von Goldman Sachs zeigten sich weltweit 169 Branchen vom Mikrochip-Mangel betroffen. Dieses Problem hat Millionen gekostet – und soll daher vom „EU Chips Act“ an der Wurzel anpackt werden.</w:t>
      </w:r>
    </w:p>
    <w:p w:rsidR="00540B7B" w:rsidRPr="001F239B" w:rsidRDefault="00540B7B">
      <w:pPr>
        <w:rPr>
          <w:rFonts w:ascii="Arial" w:hAnsi="Arial"/>
          <w:b/>
        </w:rPr>
      </w:pPr>
    </w:p>
    <w:p w:rsidR="00540B7B" w:rsidRPr="001F239B" w:rsidRDefault="001C5CE7">
      <w:pPr>
        <w:rPr>
          <w:rFonts w:ascii="Arial" w:hAnsi="Arial"/>
        </w:rPr>
      </w:pPr>
      <w:r w:rsidRPr="001F239B">
        <w:rPr>
          <w:rFonts w:ascii="Arial" w:hAnsi="Arial"/>
          <w:b/>
        </w:rPr>
        <w:t>Was ist das EU-Chipgesetz?</w:t>
      </w:r>
    </w:p>
    <w:p w:rsidR="00540B7B" w:rsidRPr="001F239B" w:rsidRDefault="001C5CE7">
      <w:pPr>
        <w:rPr>
          <w:rFonts w:ascii="Arial" w:hAnsi="Arial"/>
        </w:rPr>
      </w:pPr>
      <w:r w:rsidRPr="001F239B">
        <w:rPr>
          <w:rFonts w:ascii="Arial" w:hAnsi="Arial"/>
        </w:rPr>
        <w:t>Das EU-Chipgesetz trat am 25. Juli 2023 in Kraft und zielt darauf ab, Innovationen in der Mikroelektronik zu fördern und den Anteil der EU an der weltweiten Mikrochipproduktion in de</w:t>
      </w:r>
      <w:r w:rsidR="001F239B" w:rsidRPr="001F239B">
        <w:rPr>
          <w:rFonts w:ascii="Arial" w:hAnsi="Arial"/>
        </w:rPr>
        <w:t>n nächsten sieben Jahren auf 20</w:t>
      </w:r>
      <w:r w:rsidRPr="001F239B">
        <w:rPr>
          <w:rFonts w:ascii="Arial" w:hAnsi="Arial"/>
        </w:rPr>
        <w:t>% zu erhöhen. Vereinfacht ausgedrückt will die EU die weltweite Zahl der Unternehmen, die Mikrochips selbst herstellen, deutlich erhöhen, um sicherzustellen, dass die Hersteller in Zukunft von Lieferkettenproblemen wie im Jahr 2020 verschont bleiben.</w:t>
      </w:r>
    </w:p>
    <w:p w:rsidR="00540B7B" w:rsidRPr="001F239B" w:rsidRDefault="00540B7B">
      <w:pPr>
        <w:rPr>
          <w:rFonts w:ascii="Arial" w:hAnsi="Arial"/>
        </w:rPr>
      </w:pPr>
    </w:p>
    <w:p w:rsidR="00540B7B" w:rsidRPr="001F239B" w:rsidRDefault="001C5CE7">
      <w:pPr>
        <w:rPr>
          <w:rFonts w:ascii="Arial" w:hAnsi="Arial"/>
          <w:i/>
          <w:sz w:val="18"/>
          <w:szCs w:val="18"/>
        </w:rPr>
      </w:pPr>
      <w:r w:rsidRPr="001F239B">
        <w:rPr>
          <w:rFonts w:ascii="Arial" w:hAnsi="Arial"/>
        </w:rPr>
        <w:t>Mit dem Gesetz verbunden ist der Zugang zur Finanzierung, das als "wichtiges Projekt von gemeinsamem europäischem Interesse" im Bereich der Mikroelektronik und Kommunikationstechnologien (oder "IPCEI ME/CT") bezeichnet wird. Das Gesetz und das Projekt schaffen einen unmittelbaren Anreiz für europäische Unternehmen, wichtige Teile ihrer Maschinen nicht mehr extern zu beziehen, sondern selbst zu produzieren – mit entsprechender Unterstützung und Finanzierung. Neben der anfänglichen Zusage von 8,1 Mrd. EUR staatlicher Beihilfen werden dafür weitere 13,7 Mrd. EUR an privaten Investitionen aus EU-Mitgliedsländern wie Deutschland, Finnland, Frankreich, Griechenland, Irland, Italien, Malta, Niederlande, Österreich, Polen, Rumänien, Slowakei, Spanien und der Tschechischen Republik erwartet.</w:t>
      </w:r>
    </w:p>
    <w:p w:rsidR="00540B7B" w:rsidRPr="001F239B" w:rsidRDefault="00540B7B">
      <w:pPr>
        <w:rPr>
          <w:rFonts w:ascii="Arial" w:hAnsi="Arial"/>
          <w:i/>
          <w:sz w:val="18"/>
          <w:szCs w:val="18"/>
        </w:rPr>
      </w:pPr>
    </w:p>
    <w:p w:rsidR="00540B7B" w:rsidRPr="001F239B" w:rsidRDefault="001F239B">
      <w:pPr>
        <w:rPr>
          <w:rFonts w:ascii="Arial" w:hAnsi="Arial"/>
          <w:i/>
          <w:sz w:val="18"/>
          <w:szCs w:val="18"/>
        </w:rPr>
      </w:pPr>
      <w:r>
        <w:rPr>
          <w:noProof/>
          <w:lang w:eastAsia="de-DE"/>
        </w:rPr>
        <w:drawing>
          <wp:inline distT="0" distB="0" distL="0" distR="0">
            <wp:extent cx="3590925" cy="183832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90925" cy="1838325"/>
                    </a:xfrm>
                    <a:prstGeom prst="rect">
                      <a:avLst/>
                    </a:prstGeom>
                    <a:solidFill>
                      <a:srgbClr val="FFFFFF"/>
                    </a:solidFill>
                    <a:ln w="9525">
                      <a:noFill/>
                      <a:miter lim="800000"/>
                      <a:headEnd/>
                      <a:tailEnd/>
                    </a:ln>
                  </pic:spPr>
                </pic:pic>
              </a:graphicData>
            </a:graphic>
          </wp:inline>
        </w:drawing>
      </w:r>
    </w:p>
    <w:p w:rsidR="00540B7B" w:rsidRPr="001F239B" w:rsidRDefault="001C5CE7">
      <w:pPr>
        <w:rPr>
          <w:rFonts w:ascii="Arial" w:hAnsi="Arial"/>
        </w:rPr>
      </w:pPr>
      <w:r w:rsidRPr="001F239B">
        <w:rPr>
          <w:rFonts w:ascii="Arial" w:hAnsi="Arial"/>
          <w:i/>
          <w:sz w:val="18"/>
          <w:szCs w:val="18"/>
        </w:rPr>
        <w:t>Bild 02 Einsatz der Thermografie zur Prüfung eines Mikrochips mit der FLIR 8580 MWIR</w:t>
      </w:r>
      <w:r w:rsidR="000F3D5B">
        <w:rPr>
          <w:rFonts w:ascii="Arial" w:hAnsi="Arial"/>
          <w:i/>
          <w:sz w:val="18"/>
          <w:szCs w:val="18"/>
        </w:rPr>
        <w:t xml:space="preserve"> </w:t>
      </w:r>
      <w:r w:rsidR="00622C29">
        <w:rPr>
          <w:rFonts w:ascii="Arial" w:hAnsi="Arial"/>
          <w:i/>
          <w:sz w:val="18"/>
          <w:szCs w:val="18"/>
        </w:rPr>
        <w:t>Wärmebildkamera</w:t>
      </w:r>
    </w:p>
    <w:p w:rsidR="00540B7B" w:rsidRPr="001F239B" w:rsidRDefault="00540B7B">
      <w:pPr>
        <w:rPr>
          <w:rFonts w:ascii="Arial" w:hAnsi="Arial"/>
        </w:rPr>
      </w:pPr>
    </w:p>
    <w:p w:rsidR="00540B7B" w:rsidRPr="001F239B" w:rsidRDefault="001C5CE7">
      <w:pPr>
        <w:rPr>
          <w:rFonts w:ascii="Arial" w:hAnsi="Arial"/>
        </w:rPr>
      </w:pPr>
      <w:r w:rsidRPr="001F239B">
        <w:rPr>
          <w:rFonts w:ascii="Arial" w:hAnsi="Arial"/>
        </w:rPr>
        <w:t>Da die Digitaltechnik eng mit der Mikroelektronik verbunden ist, erhofft man sich von den massiven Halbleiter-Investitionen in dieser Größenordnung einen doppelten Nutzen: Sie sollen nicht nur bestehende Produktionslinien vor unvorhersehbaren Auswirkungen auf die Lieferketten schützen, sondern auch die künftige technologische Entwicklung, die ja von Chips bestimmt wird, grundlegend vorantreiben. Dazu gehören Technologien wie KI, Quantencomputer, 5G- und 6G-Kommunikation, autonomes Fahren und grüne Umwelttechnologien.</w:t>
      </w:r>
    </w:p>
    <w:p w:rsidR="00540B7B" w:rsidRPr="001F239B" w:rsidRDefault="00540B7B">
      <w:pPr>
        <w:rPr>
          <w:rFonts w:ascii="Arial" w:hAnsi="Arial"/>
        </w:rPr>
      </w:pPr>
    </w:p>
    <w:p w:rsidR="00540B7B" w:rsidRPr="001F239B" w:rsidRDefault="001C5CE7">
      <w:r w:rsidRPr="001F239B">
        <w:rPr>
          <w:rFonts w:ascii="Arial" w:hAnsi="Arial"/>
        </w:rPr>
        <w:t>Bislang wurden 68 Projekte von 56 Unternehmen zugesagt, darunter international bedeutende Marken wie Vodafone, Infineon, Ericsson und GlobalFoundries.</w:t>
      </w:r>
    </w:p>
    <w:p w:rsidR="00540B7B" w:rsidRPr="001F239B" w:rsidRDefault="00540B7B"/>
    <w:p w:rsidR="00540B7B" w:rsidRPr="001F239B" w:rsidRDefault="001C5CE7">
      <w:pPr>
        <w:rPr>
          <w:rFonts w:ascii="Arial" w:hAnsi="Arial"/>
        </w:rPr>
      </w:pPr>
      <w:r w:rsidRPr="001F239B">
        <w:rPr>
          <w:rFonts w:ascii="Arial" w:hAnsi="Arial"/>
          <w:b/>
        </w:rPr>
        <w:t>Wärmebildtechnik ist für die Prüfung von Elektronik unverzichtbar</w:t>
      </w:r>
    </w:p>
    <w:p w:rsidR="00540B7B" w:rsidRPr="001F239B" w:rsidRDefault="001C5CE7">
      <w:pPr>
        <w:rPr>
          <w:rFonts w:ascii="Arial" w:hAnsi="Arial"/>
        </w:rPr>
      </w:pPr>
      <w:r w:rsidRPr="001F239B">
        <w:rPr>
          <w:rFonts w:ascii="Arial" w:hAnsi="Arial"/>
        </w:rPr>
        <w:t>Unabhängig vom Umfang dieser ehrgeizigen Projekte und unabhängig davon, ob die Chips zur Erfassung, Verarbeitung, Speicherung oder zur direkten Verarbeitung von Daten eingesetzt werden, ist das Testen ein wichtiger Schritt im Entwicklungsprozess. Um die verfügbaren Mittel optimal zu nutzen, müssen die Unternehmen in der Lage sein, ihre Komponenten auf die Einhaltung bestimmter Sicherheitsstandards hin zu testen. Ob es um die Prüfung von Funktionalität, Leistung oder Qualitätssicherung geht, die elektronischen Komponenten müssen sorgfältig geprüft werden.</w:t>
      </w:r>
    </w:p>
    <w:p w:rsidR="00540B7B" w:rsidRPr="001F239B" w:rsidRDefault="00540B7B">
      <w:pPr>
        <w:rPr>
          <w:rFonts w:ascii="Arial" w:hAnsi="Arial"/>
        </w:rPr>
      </w:pPr>
    </w:p>
    <w:p w:rsidR="00540B7B" w:rsidRPr="001F239B" w:rsidRDefault="001F239B">
      <w:pPr>
        <w:rPr>
          <w:rFonts w:ascii="Arial" w:hAnsi="Arial"/>
          <w:i/>
          <w:sz w:val="18"/>
          <w:szCs w:val="18"/>
        </w:rPr>
      </w:pPr>
      <w:r>
        <w:rPr>
          <w:noProof/>
          <w:lang w:eastAsia="de-DE"/>
        </w:rPr>
        <w:drawing>
          <wp:inline distT="0" distB="0" distL="0" distR="0">
            <wp:extent cx="3590925" cy="2781300"/>
            <wp:effectExtent l="1905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90925" cy="2781300"/>
                    </a:xfrm>
                    <a:prstGeom prst="rect">
                      <a:avLst/>
                    </a:prstGeom>
                    <a:solidFill>
                      <a:srgbClr val="FFFFFF"/>
                    </a:solidFill>
                    <a:ln w="9525">
                      <a:noFill/>
                      <a:miter lim="800000"/>
                      <a:headEnd/>
                      <a:tailEnd/>
                    </a:ln>
                  </pic:spPr>
                </pic:pic>
              </a:graphicData>
            </a:graphic>
          </wp:inline>
        </w:drawing>
      </w:r>
    </w:p>
    <w:p w:rsidR="00540B7B" w:rsidRPr="001F239B" w:rsidRDefault="001C5CE7">
      <w:pPr>
        <w:rPr>
          <w:rFonts w:ascii="Arial" w:hAnsi="Arial"/>
        </w:rPr>
      </w:pPr>
      <w:r w:rsidRPr="001F239B">
        <w:rPr>
          <w:rFonts w:ascii="Arial" w:hAnsi="Arial"/>
          <w:i/>
          <w:sz w:val="18"/>
          <w:szCs w:val="18"/>
        </w:rPr>
        <w:t>Bild 03 A8580-2xLens-CircuitBoard-HR: die präzise FLIR A8580 MWIR bei der Inspektion einer Platine</w:t>
      </w:r>
    </w:p>
    <w:p w:rsidR="00540B7B" w:rsidRPr="001F239B" w:rsidRDefault="00540B7B">
      <w:pPr>
        <w:rPr>
          <w:rFonts w:ascii="Arial" w:hAnsi="Arial"/>
        </w:rPr>
      </w:pPr>
    </w:p>
    <w:p w:rsidR="00540B7B" w:rsidRPr="001F239B" w:rsidRDefault="001C5CE7">
      <w:r w:rsidRPr="001F239B">
        <w:rPr>
          <w:rFonts w:ascii="Arial" w:hAnsi="Arial"/>
        </w:rPr>
        <w:t xml:space="preserve">Thermografie spielt eine wichtige Rolle, wenn es darum geht, Schaltkreise </w:t>
      </w:r>
      <w:r w:rsidR="007522EC">
        <w:rPr>
          <w:rFonts w:ascii="Arial" w:hAnsi="Arial"/>
        </w:rPr>
        <w:t>thermisch zu überwachen</w:t>
      </w:r>
      <w:r w:rsidRPr="001F239B">
        <w:rPr>
          <w:rFonts w:ascii="Arial" w:hAnsi="Arial"/>
        </w:rPr>
        <w:t>, Wärmeverluste zu verhindern oder thermische</w:t>
      </w:r>
      <w:r w:rsidR="00E25DDD">
        <w:rPr>
          <w:rFonts w:ascii="Arial" w:hAnsi="Arial"/>
        </w:rPr>
        <w:t xml:space="preserve"> Überlastung</w:t>
      </w:r>
      <w:r w:rsidRPr="001F239B">
        <w:rPr>
          <w:rFonts w:ascii="Arial" w:hAnsi="Arial"/>
        </w:rPr>
        <w:t xml:space="preserve"> in dem Moment zu erkennen, wenn </w:t>
      </w:r>
      <w:r w:rsidR="00E25DDD">
        <w:rPr>
          <w:rFonts w:ascii="Arial" w:hAnsi="Arial"/>
        </w:rPr>
        <w:t>diese</w:t>
      </w:r>
      <w:r w:rsidRPr="001F239B">
        <w:rPr>
          <w:rFonts w:ascii="Arial" w:hAnsi="Arial"/>
        </w:rPr>
        <w:t xml:space="preserve"> entsteht. Die Beobachtung thermischer Eigenschaften der eingesetzten Mikrochips in Echtzeit stellt sicher, dass Probleme bei der Implementierung oder der Kompatibilität von Komponenten frühzeitig erkannt und behandelt werden. So können kostspielige Ausfallzeiten vermieden und der Entwicklungszyklus verkürzt werden, um ihn so effizient wie möglich zu gestalten.</w:t>
      </w:r>
    </w:p>
    <w:p w:rsidR="00540B7B" w:rsidRPr="001F239B" w:rsidRDefault="00540B7B"/>
    <w:p w:rsidR="00540B7B" w:rsidRPr="001F239B" w:rsidRDefault="001C5CE7">
      <w:pPr>
        <w:rPr>
          <w:rFonts w:ascii="Arial" w:hAnsi="Arial"/>
        </w:rPr>
      </w:pPr>
      <w:r w:rsidRPr="001F239B">
        <w:rPr>
          <w:rFonts w:ascii="Arial" w:hAnsi="Arial"/>
        </w:rPr>
        <w:t>Für Prüfstände in industriellen Fertigungsumgebungen müssen Unternehmen in robuste, zuverlässige Wärmebildtechnik investieren. Unabhängig davon, ob sie diskrete Bauelemente wie Widerstände und Kondensatoren perfektionieren oder Elemente, die mit Stromversorgungen verbunden sind, wie z. B. Transistoren oder Transformatoren: Wärmebildsysteme wie die leistungsstarken Kameras der FLIR A6700-Serie (</w:t>
      </w:r>
      <w:hyperlink r:id="rId10" w:history="1">
        <w:r w:rsidR="001F239B" w:rsidRPr="001F239B">
          <w:rPr>
            <w:rStyle w:val="Link"/>
            <w:rFonts w:ascii="Arial" w:hAnsi="Arial"/>
          </w:rPr>
          <w:t>https://www.flir.eu/instruments/science/electronics/complete-thermal-package-for-ednt/</w:t>
        </w:r>
      </w:hyperlink>
      <w:r w:rsidRPr="001F239B">
        <w:rPr>
          <w:rFonts w:ascii="Arial" w:hAnsi="Arial"/>
        </w:rPr>
        <w:t>) oder die präzise FLIR A8580 MWIR (</w:t>
      </w:r>
      <w:hyperlink r:id="rId11" w:history="1">
        <w:r w:rsidR="001F239B" w:rsidRPr="001F239B">
          <w:rPr>
            <w:rStyle w:val="Link"/>
            <w:rFonts w:ascii="Arial" w:hAnsi="Arial"/>
          </w:rPr>
          <w:t>https://www.flir.de/products/a8580-mwir/?vertical=rd+science&amp;segment=solutions</w:t>
        </w:r>
      </w:hyperlink>
      <w:r w:rsidR="001F239B" w:rsidRPr="001F239B">
        <w:rPr>
          <w:rFonts w:ascii="Arial" w:hAnsi="Arial"/>
        </w:rPr>
        <w:t>)</w:t>
      </w:r>
      <w:r w:rsidRPr="001F239B">
        <w:rPr>
          <w:rFonts w:ascii="Arial" w:hAnsi="Arial"/>
        </w:rPr>
        <w:t xml:space="preserve"> </w:t>
      </w:r>
      <w:r w:rsidR="00042932">
        <w:rPr>
          <w:rFonts w:ascii="Arial" w:hAnsi="Arial"/>
        </w:rPr>
        <w:t>können</w:t>
      </w:r>
      <w:r w:rsidRPr="001F239B">
        <w:rPr>
          <w:rFonts w:ascii="Arial" w:hAnsi="Arial"/>
        </w:rPr>
        <w:t xml:space="preserve"> dabei eine </w:t>
      </w:r>
      <w:bookmarkStart w:id="0" w:name="_GoBack"/>
      <w:bookmarkEnd w:id="0"/>
      <w:r w:rsidRPr="001F239B">
        <w:rPr>
          <w:rFonts w:ascii="Arial" w:hAnsi="Arial"/>
        </w:rPr>
        <w:t>entscheidende Rolle spielen.</w:t>
      </w:r>
    </w:p>
    <w:p w:rsidR="00540B7B" w:rsidRPr="001F239B" w:rsidRDefault="00540B7B">
      <w:pPr>
        <w:rPr>
          <w:rFonts w:ascii="Arial" w:hAnsi="Arial"/>
        </w:rPr>
      </w:pPr>
    </w:p>
    <w:p w:rsidR="00540B7B" w:rsidRPr="001F239B" w:rsidRDefault="001F239B">
      <w:pPr>
        <w:rPr>
          <w:rFonts w:ascii="Arial" w:hAnsi="Arial"/>
          <w:i/>
          <w:sz w:val="18"/>
          <w:szCs w:val="18"/>
        </w:rPr>
      </w:pPr>
      <w:r>
        <w:rPr>
          <w:noProof/>
          <w:lang w:eastAsia="de-DE"/>
        </w:rPr>
        <w:drawing>
          <wp:inline distT="0" distB="0" distL="0" distR="0">
            <wp:extent cx="3590925" cy="2076450"/>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590925" cy="2076450"/>
                    </a:xfrm>
                    <a:prstGeom prst="rect">
                      <a:avLst/>
                    </a:prstGeom>
                    <a:solidFill>
                      <a:srgbClr val="FFFFFF"/>
                    </a:solidFill>
                    <a:ln w="9525">
                      <a:noFill/>
                      <a:miter lim="800000"/>
                      <a:headEnd/>
                      <a:tailEnd/>
                    </a:ln>
                  </pic:spPr>
                </pic:pic>
              </a:graphicData>
            </a:graphic>
          </wp:inline>
        </w:drawing>
      </w:r>
    </w:p>
    <w:p w:rsidR="00540B7B" w:rsidRPr="001F239B" w:rsidRDefault="001C5CE7">
      <w:pPr>
        <w:rPr>
          <w:rFonts w:ascii="Arial" w:hAnsi="Arial"/>
        </w:rPr>
      </w:pPr>
      <w:r w:rsidRPr="001F239B">
        <w:rPr>
          <w:rFonts w:ascii="Arial" w:hAnsi="Arial"/>
          <w:i/>
          <w:sz w:val="18"/>
          <w:szCs w:val="18"/>
        </w:rPr>
        <w:t>Bild 04 A6700sc-HR: die leistungsstarke FLIR A6700-Serie kann eine Schlüsselrolle in der Entwicklung von integrierten Schaltkreisen spielen.</w:t>
      </w:r>
    </w:p>
    <w:p w:rsidR="00540B7B" w:rsidRPr="001F239B" w:rsidRDefault="00540B7B">
      <w:pPr>
        <w:rPr>
          <w:rFonts w:ascii="Arial" w:hAnsi="Arial"/>
        </w:rPr>
      </w:pPr>
    </w:p>
    <w:p w:rsidR="001C5CE7" w:rsidRPr="001F239B" w:rsidRDefault="001C5CE7">
      <w:r w:rsidRPr="001F239B">
        <w:rPr>
          <w:rFonts w:ascii="Arial" w:hAnsi="Arial"/>
        </w:rPr>
        <w:t>Unabhängig davon, worauf Unternehmen in der EU ihr F&amp;E-Budget konzentrieren und in welcher Branche sie ihre Forschung betreiben, bietet die Thermografie wesentliche Erkenntnisse. Sie ermöglicht es den Prüfern, in jeder Phase des Entwicklungszyklus Spuren von Schäden durch Überspannungen oder fehlerhaft arbeitende Komponenten zu erkennen – ein Bereich also, in den die Hersteller in den kommenden Jahren klug investieren sollten.</w:t>
      </w:r>
    </w:p>
    <w:sectPr w:rsidR="001C5CE7" w:rsidRPr="001F239B" w:rsidSect="00B040D4">
      <w:pgSz w:w="11906" w:h="16838"/>
      <w:pgMar w:top="1417" w:right="1417" w:bottom="1134" w:left="1417" w:gutter="0"/>
      <w:docGrid w:linePitch="360" w:charSpace="-6145"/>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90444" w:rsidRDefault="00890444" w:rsidP="00A710E5">
      <w:r>
        <w:separator/>
      </w:r>
    </w:p>
  </w:endnote>
  <w:endnote w:type="continuationSeparator" w:id="1">
    <w:p w:rsidR="00890444" w:rsidRDefault="00890444" w:rsidP="00A7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font129">
    <w:charset w:val="80"/>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90444" w:rsidRDefault="00890444" w:rsidP="00A710E5">
      <w:r>
        <w:separator/>
      </w:r>
    </w:p>
  </w:footnote>
  <w:footnote w:type="continuationSeparator" w:id="1">
    <w:p w:rsidR="00890444" w:rsidRDefault="00890444" w:rsidP="00A710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mplin, Joachim">
    <w15:presenceInfo w15:providerId="AD" w15:userId="S::Joachim.Templin@Teledyne.com::41b8d7b7-cd40-4a1e-ad38-c0fbc8951d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1F239B"/>
    <w:rsid w:val="00042932"/>
    <w:rsid w:val="00071BD5"/>
    <w:rsid w:val="000F3D5B"/>
    <w:rsid w:val="001C5CE7"/>
    <w:rsid w:val="001D75C9"/>
    <w:rsid w:val="001F239B"/>
    <w:rsid w:val="00540B7B"/>
    <w:rsid w:val="005E3F2B"/>
    <w:rsid w:val="00622C29"/>
    <w:rsid w:val="00652C27"/>
    <w:rsid w:val="007522EC"/>
    <w:rsid w:val="00772539"/>
    <w:rsid w:val="00833236"/>
    <w:rsid w:val="00890444"/>
    <w:rsid w:val="008C3DEE"/>
    <w:rsid w:val="008F5014"/>
    <w:rsid w:val="00910CED"/>
    <w:rsid w:val="00A710E5"/>
    <w:rsid w:val="00A72015"/>
    <w:rsid w:val="00A9052B"/>
    <w:rsid w:val="00B040D4"/>
    <w:rsid w:val="00C0701D"/>
    <w:rsid w:val="00D10819"/>
    <w:rsid w:val="00D41FB3"/>
    <w:rsid w:val="00D77EC3"/>
    <w:rsid w:val="00DA6E7F"/>
    <w:rsid w:val="00E14645"/>
    <w:rsid w:val="00E25DDD"/>
    <w:rsid w:val="00F80F05"/>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0D4"/>
    <w:pPr>
      <w:suppressAutoHyphens/>
    </w:pPr>
    <w:rPr>
      <w:rFonts w:ascii="Cambria" w:eastAsia="Arial Unicode MS" w:hAnsi="Cambria" w:cs="font129"/>
      <w:sz w:val="24"/>
      <w:szCs w:val="24"/>
      <w:lang w:val="de-DE"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DefaultParagraphFont1">
    <w:name w:val="Default Paragraph Font1"/>
    <w:rsid w:val="00B040D4"/>
  </w:style>
  <w:style w:type="character" w:customStyle="1" w:styleId="SprechblasentextZeichen">
    <w:name w:val="Sprechblasentext Zeichen"/>
    <w:basedOn w:val="DefaultParagraphFont1"/>
    <w:rsid w:val="00B040D4"/>
    <w:rPr>
      <w:rFonts w:ascii="Lucida Grande" w:hAnsi="Lucida Grande" w:cs="Lucida Grande"/>
      <w:sz w:val="18"/>
      <w:szCs w:val="18"/>
    </w:rPr>
  </w:style>
  <w:style w:type="paragraph" w:customStyle="1" w:styleId="berschrift">
    <w:name w:val="Überschrift"/>
    <w:basedOn w:val="Standard"/>
    <w:next w:val="Textkrper"/>
    <w:rsid w:val="00B040D4"/>
    <w:pPr>
      <w:keepNext/>
      <w:spacing w:before="240" w:after="120"/>
    </w:pPr>
    <w:rPr>
      <w:rFonts w:ascii="Arial" w:hAnsi="Arial" w:cs="Arial Unicode MS"/>
      <w:sz w:val="28"/>
      <w:szCs w:val="28"/>
    </w:rPr>
  </w:style>
  <w:style w:type="paragraph" w:styleId="Textkrper">
    <w:name w:val="Body Text"/>
    <w:basedOn w:val="Standard"/>
    <w:rsid w:val="00B040D4"/>
    <w:pPr>
      <w:spacing w:after="120"/>
    </w:pPr>
  </w:style>
  <w:style w:type="paragraph" w:styleId="Liste">
    <w:name w:val="List"/>
    <w:basedOn w:val="Textkrper"/>
    <w:rsid w:val="00B040D4"/>
  </w:style>
  <w:style w:type="paragraph" w:customStyle="1" w:styleId="Beschriftung1">
    <w:name w:val="Beschriftung1"/>
    <w:basedOn w:val="Standard"/>
    <w:rsid w:val="00B040D4"/>
    <w:pPr>
      <w:suppressLineNumbers/>
      <w:spacing w:before="120" w:after="120"/>
    </w:pPr>
    <w:rPr>
      <w:i/>
      <w:iCs/>
    </w:rPr>
  </w:style>
  <w:style w:type="paragraph" w:customStyle="1" w:styleId="Verzeichnis">
    <w:name w:val="Verzeichnis"/>
    <w:basedOn w:val="Standard"/>
    <w:rsid w:val="00B040D4"/>
    <w:pPr>
      <w:suppressLineNumbers/>
    </w:pPr>
  </w:style>
  <w:style w:type="paragraph" w:customStyle="1" w:styleId="BalloonText1">
    <w:name w:val="Balloon Text1"/>
    <w:basedOn w:val="Standard"/>
    <w:rsid w:val="00B040D4"/>
    <w:rPr>
      <w:rFonts w:ascii="Lucida Grande" w:hAnsi="Lucida Grande" w:cs="Lucida Grande"/>
      <w:sz w:val="18"/>
      <w:szCs w:val="18"/>
    </w:rPr>
  </w:style>
  <w:style w:type="character" w:styleId="Link">
    <w:name w:val="Hyperlink"/>
    <w:basedOn w:val="Absatzstandardschriftart"/>
    <w:uiPriority w:val="99"/>
    <w:unhideWhenUsed/>
    <w:rsid w:val="001F239B"/>
    <w:rPr>
      <w:color w:val="0000FF" w:themeColor="hyperlink"/>
      <w:u w:val="single"/>
    </w:rPr>
  </w:style>
  <w:style w:type="paragraph" w:styleId="Sprechblasentext">
    <w:name w:val="Balloon Text"/>
    <w:basedOn w:val="Standard"/>
    <w:link w:val="SprechblasentextZeichen1"/>
    <w:uiPriority w:val="99"/>
    <w:semiHidden/>
    <w:unhideWhenUsed/>
    <w:rsid w:val="00F80F05"/>
    <w:rPr>
      <w:rFonts w:ascii="Tahoma" w:hAnsi="Tahoma" w:cs="Tahoma"/>
      <w:sz w:val="16"/>
      <w:szCs w:val="16"/>
    </w:rPr>
  </w:style>
  <w:style w:type="character" w:customStyle="1" w:styleId="SprechblasentextZeichen1">
    <w:name w:val="Sprechblasentext Zeichen1"/>
    <w:basedOn w:val="Absatzstandardschriftart"/>
    <w:link w:val="Sprechblasentext"/>
    <w:uiPriority w:val="99"/>
    <w:semiHidden/>
    <w:rsid w:val="00F80F05"/>
    <w:rPr>
      <w:rFonts w:ascii="Tahoma" w:eastAsia="Arial Unicode MS" w:hAnsi="Tahoma" w:cs="Tahoma"/>
      <w:sz w:val="16"/>
      <w:szCs w:val="16"/>
      <w:lang w:val="de-DE" w:eastAsia="ar-SA"/>
    </w:rPr>
  </w:style>
  <w:style w:type="paragraph" w:styleId="Kopfzeile">
    <w:name w:val="header"/>
    <w:basedOn w:val="Standard"/>
    <w:link w:val="KopfzeileZeichen"/>
    <w:uiPriority w:val="99"/>
    <w:unhideWhenUsed/>
    <w:rsid w:val="00A710E5"/>
    <w:pPr>
      <w:tabs>
        <w:tab w:val="center" w:pos="4513"/>
        <w:tab w:val="right" w:pos="9026"/>
      </w:tabs>
    </w:pPr>
  </w:style>
  <w:style w:type="character" w:customStyle="1" w:styleId="KopfzeileZeichen">
    <w:name w:val="Kopfzeile Zeichen"/>
    <w:basedOn w:val="Absatzstandardschriftart"/>
    <w:link w:val="Kopfzeile"/>
    <w:uiPriority w:val="99"/>
    <w:rsid w:val="00A710E5"/>
    <w:rPr>
      <w:rFonts w:ascii="Cambria" w:eastAsia="Arial Unicode MS" w:hAnsi="Cambria" w:cs="font129"/>
      <w:sz w:val="24"/>
      <w:szCs w:val="24"/>
      <w:lang w:val="de-DE" w:eastAsia="ar-SA"/>
    </w:rPr>
  </w:style>
  <w:style w:type="paragraph" w:styleId="Fuzeile">
    <w:name w:val="footer"/>
    <w:basedOn w:val="Standard"/>
    <w:link w:val="FuzeileZeichen"/>
    <w:uiPriority w:val="99"/>
    <w:unhideWhenUsed/>
    <w:rsid w:val="00A710E5"/>
    <w:pPr>
      <w:tabs>
        <w:tab w:val="center" w:pos="4513"/>
        <w:tab w:val="right" w:pos="9026"/>
      </w:tabs>
    </w:pPr>
  </w:style>
  <w:style w:type="character" w:customStyle="1" w:styleId="FuzeileZeichen">
    <w:name w:val="Fußzeile Zeichen"/>
    <w:basedOn w:val="Absatzstandardschriftart"/>
    <w:link w:val="Fuzeile"/>
    <w:uiPriority w:val="99"/>
    <w:rsid w:val="00A710E5"/>
    <w:rPr>
      <w:rFonts w:ascii="Cambria" w:eastAsia="Arial Unicode MS" w:hAnsi="Cambria" w:cs="font129"/>
      <w:sz w:val="24"/>
      <w:szCs w:val="24"/>
      <w:lang w:val="de-DE" w:eastAsia="ar-SA"/>
    </w:rPr>
  </w:style>
</w:styles>
</file>

<file path=word/webSettings.xml><?xml version="1.0" encoding="utf-8"?>
<w:webSettings xmlns:r="http://schemas.openxmlformats.org/officeDocument/2006/relationships" xmlns:w="http://schemas.openxmlformats.org/wordprocessingml/2006/main">
  <w:divs>
    <w:div w:id="198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lir.de/products/a8580-mwir/?vertical=rd+science&amp;segment=solutions" TargetMode="External"/><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20"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www.air-worldwide.com/blog/posts/2021/12/pandemic-supply-chain-issues-semiconductors/"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s://www.flir.eu/instruments/science/electronics/complete-thermal-package-for-edn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6088</Characters>
  <Application>Microsoft Word 12.1.0</Application>
  <DocSecurity>0</DocSecurity>
  <Lines>50</Lines>
  <Paragraphs>12</Paragraphs>
  <ScaleCrop>false</ScaleCrop>
  <Company>PC-Ware</Company>
  <LinksUpToDate>false</LinksUpToDate>
  <CharactersWithSpaces>7476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Frank</cp:lastModifiedBy>
  <cp:revision>3</cp:revision>
  <cp:lastPrinted>2023-08-14T11:43:00Z</cp:lastPrinted>
  <dcterms:created xsi:type="dcterms:W3CDTF">2023-08-14T13:22:00Z</dcterms:created>
  <dcterms:modified xsi:type="dcterms:W3CDTF">2024-05-13T14:38:00Z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456fd613-3505-4c5e-88d0-1ac9e803e6ba</vt:lpwstr>
  </property>
  <property fmtid="{D5CDD505-2E9C-101B-9397-08002B2CF9AE}" pid="9" name="ECIData">
    <vt:lpwstr>NO</vt:lpwstr>
  </property>
  <property fmtid="{D5CDD505-2E9C-101B-9397-08002B2CF9AE}" pid="10" name="IncludeFooter">
    <vt:lpwstr>No</vt:lpwstr>
  </property>
  <property fmtid="{D5CDD505-2E9C-101B-9397-08002B2CF9AE}" pid="11" name="UnresCompExt">
    <vt:lpwstr>NO</vt:lpwstr>
  </property>
  <property fmtid="{D5CDD505-2E9C-101B-9397-08002B2CF9AE}" pid="12" name="CompSens">
    <vt:lpwstr>YES</vt:lpwstr>
  </property>
  <property fmtid="{D5CDD505-2E9C-101B-9397-08002B2CF9AE}" pid="13" name="IncludeCompSensMarking">
    <vt:lpwstr>YES</vt:lpwstr>
  </property>
  <property fmtid="{D5CDD505-2E9C-101B-9397-08002B2CF9AE}" pid="14" name="ConfLegPri">
    <vt:lpwstr>NO</vt:lpwstr>
  </property>
  <property fmtid="{D5CDD505-2E9C-101B-9397-08002B2CF9AE}" pid="15" name="PIIData">
    <vt:lpwstr>NO</vt:lpwstr>
  </property>
  <property fmtid="{D5CDD505-2E9C-101B-9397-08002B2CF9AE}" pid="16" name="CUIData">
    <vt:lpwstr>NO</vt:lpwstr>
  </property>
</Properties>
</file>